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maitland-profile"/>
    <w:p>
      <w:pPr>
        <w:pStyle w:val="Heading1"/>
      </w:pPr>
      <w:r>
        <w:t xml:space="preserve">Maitland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392 sqkm          </w:t>
      </w:r>
      <w:r>
        <w:rPr>
          <w:bCs/>
          <w:b/>
        </w:rPr>
        <w:t xml:space="preserve">Population:</w:t>
      </w:r>
      <w:r>
        <w:t xml:space="preserve"> </w:t>
      </w:r>
      <w:r>
        <w:t xml:space="preserve">95,957          </w:t>
      </w:r>
      <w:r>
        <w:rPr>
          <w:bCs/>
          <w:b/>
        </w:rPr>
        <w:t xml:space="preserve">Major Town:</w:t>
      </w:r>
      <w:r>
        <w:t xml:space="preserve"> </w:t>
      </w:r>
      <w:r>
        <w:t xml:space="preserve">Maitland</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44,186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Maitland</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New South Wales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9,735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807,495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6,975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439,775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248,695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3,065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217,665</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$56,604          </w:t>
      </w:r>
      <w:r>
        <w:rPr>
          <w:bCs/>
          <w:b/>
        </w:rPr>
        <w:t xml:space="preserve">Gross Regional Product:</w:t>
      </w:r>
      <w:r>
        <w:t xml:space="preserve"> </w:t>
      </w:r>
      <w:r>
        <w:t xml:space="preserve">$6,603 Million          </w:t>
      </w:r>
      <w:r>
        <w:rPr>
          <w:bCs/>
          <w:b/>
        </w:rPr>
        <w:t xml:space="preserve">Employed Residents:</w:t>
      </w:r>
      <w:r>
        <w:t xml:space="preserve"> </w:t>
      </w:r>
      <w:r>
        <w:t xml:space="preserve">52,564</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9,204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766</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5,137</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584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4,733</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4,169</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Accommodation and Food Services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3,933</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11,618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12,030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1170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1170 - NSW Severe Weather and Storms from 15 January 2025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1119 - NSW East Coast Flooding (from 1 April 2024 onwards)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1090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1090 - Lower Hunter NSW Bushfires (20 September to 9 October 2023)</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Bushfire</w:t>
            </w:r>
          </w:p>
        </w:tc>
      </w:tr>
    </w:tbl>
    <w:bookmarkStart w:id="32" w:name="section-5"/>
    <w:p>
      <w:pPr>
        <w:pStyle w:val="Heading5"/>
      </w:pPr>
    </w:p>
    <w:bookmarkEnd w:id="32"/>
    <w:bookmarkEnd w:id="33"/>
    <w:bookmarkStart w:id="37"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 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 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 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New Zealand 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94,600</w:t>
            </w:r>
          </w:p>
        </w:tc>
      </w:tr>
      <w:tr>
        <w:trPr>
          <w:trHeight w:val="360" w:hRule="auto"/>
        </w:trPr>
        body 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Landholder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765,000</w:t>
            </w:r>
          </w:p>
        </w:tc>
      </w:tr>
      <w:tr>
        <w:trPr>
          <w:trHeight w:val="360" w:hRule="auto"/>
        </w:trPr>
        body 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758,633</w:t>
            </w:r>
          </w:p>
        </w:tc>
      </w:tr>
      <w:tr>
        <w:trPr>
          <w:trHeight w:val="360" w:hRule="auto"/>
        </w:trPr>
        body 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Concessional Loans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w:t>
            </w:r>
          </w:p>
        </w:tc>
      </w:tr>
      <w:tr>
        <w:trPr>
          <w:trHeight w:val="360" w:hRule="auto"/>
        </w:trPr>
        body 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416,809</w:t>
            </w:r>
          </w:p>
        </w:tc>
      </w:tr>
      <w:tr>
        <w:trPr>
          <w:trHeight w:val="360" w:hRule="auto"/>
        </w:trPr>
        body 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3,151,600</w:t>
            </w:r>
          </w:p>
        </w:tc>
      </w:tr>
      <w:tr>
        <w:trPr>
          <w:trHeight w:val="360" w:hRule="auto"/>
        </w:trPr>
        body 8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Relief Grants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28,704</w:t>
            </w:r>
          </w:p>
        </w:tc>
      </w:tr>
      <w:tr>
        <w:trPr>
          <w:trHeight w:val="360" w:hRule="auto"/>
        </w:trPr>
        body 9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Payment</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18,081</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34,938</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21,178,045</w:t>
            </w:r>
          </w:p>
        </w:tc>
      </w:tr>
      <w:tr>
        <w:trPr>
          <w:trHeight w:val="360" w:hRule="auto"/>
        </w:trPr>
        body10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2,202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2,738,187</w:t>
            </w:r>
          </w:p>
        </w:tc>
      </w:tr>
      <w:tr>
        <w:trPr>
          <w:trHeight w:val="360" w:hRule="auto"/>
        </w:trPr>
        body11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187,968</w:t>
            </w:r>
          </w:p>
        </w:tc>
      </w:tr>
    </w:tbl>
    <w:bookmarkStart w:id="35" w:name="section-6"/>
    <w:p>
      <w:pPr>
        <w:pStyle w:val="Heading5"/>
      </w:pPr>
    </w:p>
    <w:bookmarkEnd w:id="35"/>
    <w:bookmarkStart w:id="36" w:name="section-7"/>
    <w:p>
      <w:pPr>
        <w:pStyle w:val="Heading5"/>
      </w:pPr>
    </w:p>
    <w:bookmarkEnd w:id="36"/>
    <w:bookmarkEnd w:id="37"/>
    <w:bookmarkStart w:id="39" w:name="emergency-response-fund-erf"/>
    <w:p>
      <w:pPr>
        <w:pStyle w:val="Heading2"/>
      </w:pPr>
      <w:r>
        <w:t xml:space="preserve">Emergency Response Fund (ERF)</w:t>
      </w:r>
    </w:p>
    <w:p>
      <w:pPr>
        <w:pStyle w:val="FirstParagraph"/>
      </w:pPr>
      <w:r>
        <w:t xml:space="preserve">The Emergency Response Fund is an investment fund to maximise the Commonwealth’s capacity to support states and territories responses to major natural disasters into the future.</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 Recovery and Resilience Program - New South Wales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75,000,000</w:t>
            </w:r>
          </w:p>
        </w:tc>
      </w:tr>
    </w:tbl>
    <w:bookmarkStart w:id="38" w:name="section-8"/>
    <w:p>
      <w:pPr>
        <w:pStyle w:val="Heading5"/>
      </w:pPr>
    </w:p>
    <w:bookmarkEnd w:id="38"/>
    <w:bookmarkEnd w:id="39"/>
    <w:bookmarkStart w:id="52"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16,665,577</w:t>
            </w:r>
          </w:p>
        </w:tc>
      </w:tr>
    </w:tbl>
    <w:bookmarkStart w:id="40" w:name="section-9"/>
    <w:p>
      <w:pPr>
        <w:pStyle w:val="Heading5"/>
      </w:pPr>
    </w:p>
    <w:p>
      <w:r>
        <w:br w:type="page"/>
      </w:r>
    </w:p>
    <w:bookmarkEnd w:id="40"/>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2025-03-06T05:23:37Z</dcterms:created>
  <dcterms:modified xsi:type="dcterms:W3CDTF">2025-03-06T05:23:37Z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